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8E7BC" w14:textId="77777777" w:rsidR="00466CD7" w:rsidRPr="000E2761" w:rsidRDefault="00466CD7" w:rsidP="002776CE">
      <w:pPr>
        <w:jc w:val="center"/>
        <w:rPr>
          <w:rFonts w:ascii="Calibri" w:eastAsia="Helvetica" w:hAnsi="Calibri" w:cs="Calibri"/>
          <w:b/>
          <w:bCs/>
          <w:sz w:val="28"/>
          <w:szCs w:val="28"/>
        </w:rPr>
      </w:pPr>
    </w:p>
    <w:p w14:paraId="773B8D93" w14:textId="77777777" w:rsidR="007F0A4D" w:rsidRPr="007F0A4D" w:rsidRDefault="007F0A4D" w:rsidP="007F0A4D">
      <w:pPr>
        <w:jc w:val="center"/>
        <w:rPr>
          <w:rFonts w:ascii="Calibri" w:eastAsia="Helvetica" w:hAnsi="Calibri" w:cs="Calibri"/>
          <w:b/>
          <w:bCs/>
          <w:sz w:val="32"/>
          <w:szCs w:val="32"/>
          <w:lang w:val="en-GB"/>
        </w:rPr>
      </w:pPr>
      <w:r w:rsidRPr="007F0A4D">
        <w:rPr>
          <w:rFonts w:ascii="Calibri" w:eastAsia="Helvetica" w:hAnsi="Calibri" w:cs="Calibri"/>
          <w:b/>
          <w:bCs/>
          <w:sz w:val="32"/>
          <w:szCs w:val="32"/>
          <w:lang w:val="en-GB"/>
        </w:rPr>
        <w:t>لافاتزا هي القهوة الرسمية ليوفنتوس:</w:t>
      </w:r>
    </w:p>
    <w:p w14:paraId="42B326AE" w14:textId="77777777" w:rsidR="007F0A4D" w:rsidRPr="007F0A4D" w:rsidRDefault="007F0A4D" w:rsidP="007F0A4D">
      <w:pPr>
        <w:jc w:val="center"/>
        <w:rPr>
          <w:rFonts w:ascii="Calibri" w:eastAsia="Helvetica" w:hAnsi="Calibri" w:cs="Calibri"/>
          <w:b/>
          <w:bCs/>
          <w:sz w:val="32"/>
          <w:szCs w:val="32"/>
          <w:lang w:val="en-GB"/>
        </w:rPr>
      </w:pPr>
    </w:p>
    <w:p w14:paraId="6132C74F" w14:textId="6DDFB8CD" w:rsidR="00687C44" w:rsidRPr="00687C44" w:rsidRDefault="007F0A4D" w:rsidP="007F0A4D">
      <w:pPr>
        <w:jc w:val="center"/>
        <w:rPr>
          <w:rFonts w:ascii="Calibri" w:eastAsia="Helvetica" w:hAnsi="Calibri" w:cs="Calibri"/>
          <w:b/>
          <w:bCs/>
          <w:sz w:val="32"/>
          <w:szCs w:val="32"/>
          <w:lang w:val="en-GB"/>
        </w:rPr>
      </w:pPr>
      <w:r w:rsidRPr="007F0A4D">
        <w:rPr>
          <w:rFonts w:ascii="Calibri" w:eastAsia="Helvetica" w:hAnsi="Calibri" w:cs="Calibri"/>
          <w:b/>
          <w:bCs/>
          <w:sz w:val="32"/>
          <w:szCs w:val="32"/>
          <w:lang w:val="en-GB"/>
        </w:rPr>
        <w:t>رؤية مشتركة للمستقبل</w:t>
      </w:r>
    </w:p>
    <w:p w14:paraId="471F1A6B" w14:textId="77777777" w:rsidR="0024524B" w:rsidRPr="00687C44" w:rsidRDefault="0024524B">
      <w:pPr>
        <w:jc w:val="both"/>
        <w:rPr>
          <w:rFonts w:ascii="Calibri" w:hAnsi="Calibri" w:cs="Calibri"/>
          <w:b/>
          <w:bCs/>
          <w:lang w:val="en-US"/>
        </w:rPr>
      </w:pPr>
    </w:p>
    <w:p w14:paraId="1C585CC1" w14:textId="77777777" w:rsidR="000E2761" w:rsidRPr="00687C44" w:rsidRDefault="000E2761">
      <w:pPr>
        <w:jc w:val="both"/>
        <w:rPr>
          <w:rFonts w:ascii="Calibri" w:hAnsi="Calibri" w:cs="Calibri"/>
          <w:b/>
          <w:bCs/>
          <w:lang w:val="en-US"/>
        </w:rPr>
      </w:pPr>
    </w:p>
    <w:p w14:paraId="5D7FEF2C" w14:textId="77777777" w:rsidR="00D34DA3" w:rsidRPr="00530DED" w:rsidRDefault="00D34DA3" w:rsidP="00D34DA3">
      <w:pPr>
        <w:jc w:val="both"/>
        <w:rPr>
          <w:rFonts w:asciiTheme="minorHAnsi" w:hAnsiTheme="minorHAnsi" w:cstheme="minorHAnsi"/>
          <w:lang w:val="en-US"/>
        </w:rPr>
      </w:pPr>
      <w:r w:rsidRPr="00D34DA3">
        <w:rPr>
          <w:rFonts w:ascii="Calibri" w:hAnsi="Calibri" w:cs="Calibri"/>
          <w:b/>
          <w:bCs/>
          <w:lang w:val="en-US"/>
        </w:rPr>
        <w:t>ت</w:t>
      </w:r>
      <w:r w:rsidRPr="00530DED">
        <w:rPr>
          <w:rFonts w:asciiTheme="minorHAnsi" w:hAnsiTheme="minorHAnsi" w:cstheme="minorHAnsi"/>
          <w:b/>
          <w:bCs/>
          <w:lang w:val="en-US"/>
        </w:rPr>
        <w:t xml:space="preserve">ورينو، 8 سبتمبر 2020 – </w:t>
      </w:r>
      <w:r w:rsidRPr="00530DED">
        <w:rPr>
          <w:rFonts w:asciiTheme="minorHAnsi" w:hAnsiTheme="minorHAnsi" w:cstheme="minorHAnsi"/>
          <w:lang w:val="en-US"/>
        </w:rPr>
        <w:t>"القهوة الرسمية"على مستوى العالم لأبطال إيطاليا حاملي اللقب: هذا هو جوهر الاتفاقية التي أبرمتها لافاتزا ونادي يوفنتوس، استنادًا إلى القيم المميزة المشتركة التي طالما تمسكوا بها ونالوا بفضلها مكانة مرموقة في إيطاليا وخارجها. يكشف الجمع بين هاتين العلامتين التجاريتين الشهيرتين عن رؤية مشتركة لم</w:t>
      </w:r>
      <w:bookmarkStart w:id="0" w:name="_GoBack"/>
      <w:bookmarkEnd w:id="0"/>
      <w:r w:rsidRPr="00530DED">
        <w:rPr>
          <w:rFonts w:asciiTheme="minorHAnsi" w:hAnsiTheme="minorHAnsi" w:cstheme="minorHAnsi"/>
          <w:lang w:val="en-US"/>
        </w:rPr>
        <w:t>ستقبل تلعب فيه قيم الابتكار والشغف والتقاليد دورًا بارزًا جوهره إثراء مشروعاتهم لإلهام الناس وإشراكهم وجعلهم أبطال قصة التميز.</w:t>
      </w:r>
    </w:p>
    <w:p w14:paraId="10074CEB" w14:textId="77777777" w:rsidR="00D34DA3" w:rsidRPr="00530DED" w:rsidRDefault="00D34DA3" w:rsidP="00D34DA3">
      <w:pPr>
        <w:jc w:val="both"/>
        <w:rPr>
          <w:rFonts w:asciiTheme="minorHAnsi" w:hAnsiTheme="minorHAnsi" w:cstheme="minorHAnsi"/>
          <w:lang w:val="en-US"/>
        </w:rPr>
      </w:pPr>
    </w:p>
    <w:p w14:paraId="0E66528F" w14:textId="477B09BC" w:rsidR="00687C44" w:rsidRPr="00530DED" w:rsidRDefault="00D34DA3" w:rsidP="00D34DA3">
      <w:pPr>
        <w:jc w:val="both"/>
        <w:rPr>
          <w:rFonts w:asciiTheme="minorHAnsi" w:hAnsiTheme="minorHAnsi" w:cstheme="minorHAnsi"/>
          <w:b/>
          <w:bCs/>
          <w:lang w:val="en-US"/>
        </w:rPr>
      </w:pPr>
      <w:r w:rsidRPr="00530DED">
        <w:rPr>
          <w:rFonts w:asciiTheme="minorHAnsi" w:hAnsiTheme="minorHAnsi" w:cstheme="minorHAnsi"/>
          <w:lang w:val="en-US"/>
        </w:rPr>
        <w:t>لكن هذا ليس كل شيء. شهدت تورينو انطلاق كل من لافاتزا ويوفنتوس، ويمثل كل منهما في الوقت الحاضر كيانين عالميين، وبفضل رؤيتهما الاستراتيجية ومهارات ريادة الأعمال، تمكنا من إنشاء وتصدير نموذج أعمال يُشار إليه بالبنان عالميًا</w:t>
      </w:r>
      <w:r w:rsidRPr="00530DED">
        <w:rPr>
          <w:rFonts w:asciiTheme="minorHAnsi" w:hAnsiTheme="minorHAnsi" w:cstheme="minorHAnsi"/>
          <w:b/>
          <w:bCs/>
          <w:lang w:val="en-US"/>
        </w:rPr>
        <w:t>.</w:t>
      </w:r>
    </w:p>
    <w:p w14:paraId="5631419F" w14:textId="77777777" w:rsidR="00D34DA3" w:rsidRPr="00530DED" w:rsidRDefault="00D34DA3" w:rsidP="00D34DA3">
      <w:pPr>
        <w:jc w:val="both"/>
        <w:rPr>
          <w:rFonts w:asciiTheme="minorHAnsi" w:hAnsiTheme="minorHAnsi" w:cstheme="minorHAnsi"/>
          <w:color w:val="000000"/>
          <w:lang w:val="en-US"/>
        </w:rPr>
      </w:pPr>
    </w:p>
    <w:p w14:paraId="599DF478" w14:textId="77777777" w:rsidR="00933CE9" w:rsidRPr="00530DED" w:rsidRDefault="00933CE9" w:rsidP="00933CE9">
      <w:pPr>
        <w:jc w:val="both"/>
        <w:rPr>
          <w:rFonts w:asciiTheme="minorHAnsi" w:hAnsiTheme="minorHAnsi" w:cstheme="minorHAnsi"/>
          <w:color w:val="000000"/>
          <w:lang w:val="en-GB"/>
        </w:rPr>
      </w:pPr>
      <w:r w:rsidRPr="00530DED">
        <w:rPr>
          <w:rFonts w:asciiTheme="minorHAnsi" w:hAnsiTheme="minorHAnsi" w:cstheme="minorHAnsi"/>
          <w:color w:val="000000"/>
          <w:lang w:val="en-GB"/>
        </w:rPr>
        <w:t>تغطي الاتفاقية سلسلة من الإجراءات التسويقية والتواصلية، مثل ظهور علامة لافاتزا التجارية في ملعب أليانز أرينا خلال مباريات دوري الدرجة الأولى ومباريات كأس إيطاليا وفي مركز تدريب يوفنتوس، وفي أنشطة وسائل التواصل الرقمي والاجتماعي، واستخدام الشعار في إعلانات ATL وBTL والاتصال عبر الويب.</w:t>
      </w:r>
    </w:p>
    <w:p w14:paraId="1BB87816" w14:textId="77777777" w:rsidR="00933CE9" w:rsidRPr="00530DED" w:rsidRDefault="00933CE9" w:rsidP="00933CE9">
      <w:pPr>
        <w:jc w:val="both"/>
        <w:rPr>
          <w:rFonts w:asciiTheme="minorHAnsi" w:hAnsiTheme="minorHAnsi" w:cstheme="minorHAnsi"/>
          <w:color w:val="000000"/>
          <w:lang w:val="en-GB"/>
        </w:rPr>
      </w:pPr>
    </w:p>
    <w:p w14:paraId="0EE3AB54" w14:textId="77777777" w:rsidR="00933CE9" w:rsidRPr="00530DED" w:rsidRDefault="00933CE9" w:rsidP="00933CE9">
      <w:pPr>
        <w:jc w:val="both"/>
        <w:rPr>
          <w:rFonts w:asciiTheme="minorHAnsi" w:hAnsiTheme="minorHAnsi" w:cstheme="minorHAnsi"/>
          <w:color w:val="000000"/>
          <w:lang w:val="en-GB"/>
        </w:rPr>
      </w:pPr>
      <w:r w:rsidRPr="00530DED">
        <w:rPr>
          <w:rFonts w:asciiTheme="minorHAnsi" w:hAnsiTheme="minorHAnsi" w:cstheme="minorHAnsi"/>
          <w:color w:val="000000"/>
          <w:lang w:val="en-GB"/>
        </w:rPr>
        <w:t>ستشمل الشراكة أيضًا فريق يوفنتوس الأول للسيدات، والذي لطالما كان بطل إيطاليا منذ تأسيسه، وعالم الرياضات الإلكترونية (eSports) بفضل بعض الأنشطة مع فريق يوفنتوس لكرة القدم الإلكترونية.</w:t>
      </w:r>
    </w:p>
    <w:p w14:paraId="4F3065FE" w14:textId="77777777" w:rsidR="00933CE9" w:rsidRPr="00530DED" w:rsidRDefault="00933CE9" w:rsidP="00933CE9">
      <w:pPr>
        <w:jc w:val="both"/>
        <w:rPr>
          <w:rFonts w:asciiTheme="minorHAnsi" w:hAnsiTheme="minorHAnsi" w:cstheme="minorHAnsi"/>
          <w:color w:val="000000"/>
          <w:lang w:val="en-GB"/>
        </w:rPr>
      </w:pPr>
    </w:p>
    <w:p w14:paraId="6D814267" w14:textId="0EC5AF1F" w:rsidR="005C57C6" w:rsidRPr="00530DED" w:rsidRDefault="00933CE9" w:rsidP="00933CE9">
      <w:pPr>
        <w:jc w:val="both"/>
        <w:rPr>
          <w:rFonts w:asciiTheme="minorHAnsi" w:hAnsiTheme="minorHAnsi" w:cstheme="minorHAnsi"/>
          <w:color w:val="000000"/>
          <w:lang w:val="en-GB"/>
        </w:rPr>
      </w:pPr>
      <w:r w:rsidRPr="00530DED">
        <w:rPr>
          <w:rFonts w:asciiTheme="minorHAnsi" w:hAnsiTheme="minorHAnsi" w:cstheme="minorHAnsi"/>
          <w:color w:val="000000"/>
          <w:lang w:val="en-GB"/>
        </w:rPr>
        <w:t>تشمل الاتفاقية أيضًا البيع الحصري لقهوة لافاتزا في جميع المقاهي وصالات الضيافة في ملعب أليانز أرينا في تورينو (التي توجد بها أيضًا محطات قهوة لافاتزا)؛ واستخدام ماكينات لافاتزا في جميع "الصناديق الخاصة" بالملعب، بالإضافة إلى الحق في توريد القهوة إلى فندق J Hotel.</w:t>
      </w:r>
    </w:p>
    <w:p w14:paraId="6E881B34" w14:textId="77777777" w:rsidR="004D6FD0" w:rsidRPr="00530DED" w:rsidRDefault="004D6FD0" w:rsidP="006C3AA7">
      <w:pPr>
        <w:spacing w:before="240" w:after="240"/>
        <w:jc w:val="both"/>
        <w:rPr>
          <w:rFonts w:asciiTheme="minorHAnsi" w:hAnsiTheme="minorHAnsi" w:cstheme="minorHAnsi"/>
          <w:lang w:val="en-US"/>
        </w:rPr>
      </w:pPr>
      <w:r w:rsidRPr="00530DED">
        <w:rPr>
          <w:rFonts w:asciiTheme="minorHAnsi" w:hAnsiTheme="minorHAnsi" w:cstheme="minorHAnsi"/>
          <w:lang w:val="en-US"/>
        </w:rPr>
        <w:t>"صرّحسيرجيو كرافيرو، كبير مسؤولي التسويق في لافاتزا، قائلاً: "نشعر بفخر عميق إزاء توقيع هذه الشراكة الممتدة لعدة سنوات مع علامة تجارية شهيرة مثل يوفنتوس، والتي تعود جذورها مثلنا إلى تورينو وتتمتع بأصول إيطالية وإرث عائلي عريق وحضور دولي قوي،". "تعد الرياضة إحدى ركائز علامتنا التجارية الاستراتيجية في الترويج للثقافة الحقيقية للقهوة الإيطالية في جميع أنحاء العالم والوصول إلى جمهور واسع النطاق من المتحمسين. أنا على يقين من أن هذا التعاون الجديد أيضًا سيكون أكثر نجاحًا من أي وقت مضى في نقل القيم المشتركة مثل السعي لتحقيق التميز والقدرة على الابتكار وإلهام الناس، مما يجعل عالم يوفنتوس أكثر تفردًا مع تجربة قهوة بأعلى جودة من لافاتزا."</w:t>
      </w:r>
      <w:r w:rsidRPr="00530DED">
        <w:rPr>
          <w:rFonts w:asciiTheme="minorHAnsi" w:hAnsiTheme="minorHAnsi" w:cstheme="minorHAnsi"/>
          <w:lang w:val="en-US"/>
        </w:rPr>
        <w:t xml:space="preserve"> </w:t>
      </w:r>
    </w:p>
    <w:p w14:paraId="623D73F4" w14:textId="5C1A739C" w:rsidR="00E60AAC" w:rsidRPr="00530DED" w:rsidRDefault="00E56151" w:rsidP="00687C44">
      <w:pPr>
        <w:jc w:val="both"/>
        <w:rPr>
          <w:rFonts w:asciiTheme="minorHAnsi" w:hAnsiTheme="minorHAnsi" w:cstheme="minorHAnsi"/>
        </w:rPr>
      </w:pPr>
      <w:r w:rsidRPr="00530DED">
        <w:rPr>
          <w:rFonts w:asciiTheme="minorHAnsi" w:hAnsiTheme="minorHAnsi" w:cstheme="minorHAnsi"/>
        </w:rPr>
        <w:t>"نرحب بلافاتزا في عائلة شركائنا بكل سعادة. تتسم هذه الاتفاقية بأهميتها الكبيرة لنادينا ومدينتنا، حيث تجمع بين اثنتين من أبرز العلامات التجارية الإيطالية في العالم. علّق جورجيو ريتشي، رئيس قسم الإيرادات في نادي يوفنتوس، "ستتناول المشروعات التي سنطورها معًا مجالات مختلفة، وستستغل العديد من نقاط الاتصال الاستراتيجية بين عملياتنا"..</w:t>
      </w:r>
    </w:p>
    <w:p w14:paraId="7DD1FE23" w14:textId="77777777" w:rsidR="00E56151" w:rsidRPr="00530DED" w:rsidRDefault="00E56151" w:rsidP="00687C44">
      <w:pPr>
        <w:jc w:val="both"/>
        <w:rPr>
          <w:rFonts w:asciiTheme="minorHAnsi" w:hAnsiTheme="minorHAnsi" w:cstheme="minorHAnsi"/>
          <w:bCs/>
          <w:color w:val="000000"/>
          <w:lang w:val="en-GB"/>
        </w:rPr>
      </w:pPr>
    </w:p>
    <w:p w14:paraId="7E963E2A" w14:textId="54E4F84C" w:rsidR="00EE6EC0" w:rsidRPr="00530DED" w:rsidRDefault="00B14CC0" w:rsidP="004D0362">
      <w:pPr>
        <w:rPr>
          <w:rFonts w:asciiTheme="minorHAnsi" w:hAnsiTheme="minorHAnsi" w:cstheme="minorHAnsi"/>
          <w:bCs/>
          <w:color w:val="000000"/>
          <w:lang w:val="en-GB"/>
        </w:rPr>
      </w:pPr>
      <w:r w:rsidRPr="00530DED">
        <w:rPr>
          <w:rFonts w:asciiTheme="minorHAnsi" w:hAnsiTheme="minorHAnsi" w:cstheme="minorHAnsi"/>
          <w:bCs/>
          <w:color w:val="000000"/>
          <w:lang w:val="en-GB"/>
        </w:rPr>
        <w:t>على مر السنين، كانت لافاتزا شريكًا في العديد من الأحداث الرياضية المرموقة في العالم. فعلى مستوى التنس، تعتبر العلامة التجارية الوحيدة للمأكولات والمشروبات التي رعت جميع بطولات الجراند سلام الأربع (بطولة أمريكا المفتوحة للتنس، بطولة ويمبلدون، بطولة رولان جاروس، بطولة أستراليا المفتوحة للتنس). أمّا في كرة القدم، تحظى لافاتزا بشهرة وإعجاب دوليين لشراكاتها الرئيسية مع أندية مرموقة، ومشروعاتها التي تتميز بثلاثة قواسم مشتركة: التفاني والأصالة والابتكار. في عام 2018، اختارت لافاتزا مخاطبة الملايين من مشجعي الدوري الإنجليزي الممتاز من خلال اتفاقيات طويلة الأجل كانت بموجبها الشريك الرسمي للقهوة لناديين؛ نادي أرسنال ونادي ليفربول، وهما من أكثر أندية كرة القدم شهرة في المملكة المتحدة.</w:t>
      </w:r>
    </w:p>
    <w:p w14:paraId="6F166DCC" w14:textId="77777777" w:rsidR="006B3F0F" w:rsidRPr="00530DED" w:rsidRDefault="006B3F0F" w:rsidP="004D0362">
      <w:pPr>
        <w:rPr>
          <w:rFonts w:asciiTheme="minorHAnsi" w:eastAsia="Calibri" w:hAnsiTheme="minorHAnsi" w:cstheme="minorHAnsi"/>
          <w:b/>
          <w:bCs/>
          <w:iCs/>
          <w:lang w:val="en-US"/>
        </w:rPr>
      </w:pPr>
    </w:p>
    <w:p w14:paraId="10FDB441" w14:textId="028E58E6" w:rsidR="005A1FA2" w:rsidRPr="00530DED" w:rsidRDefault="000C3692" w:rsidP="00A82763">
      <w:pPr>
        <w:jc w:val="center"/>
        <w:rPr>
          <w:rFonts w:asciiTheme="minorHAnsi" w:eastAsia="Calibri" w:hAnsiTheme="minorHAnsi" w:cstheme="minorHAnsi"/>
          <w:b/>
          <w:bCs/>
          <w:iCs/>
          <w:lang w:val="en-US"/>
        </w:rPr>
      </w:pPr>
      <w:r w:rsidRPr="00530DED">
        <w:rPr>
          <w:rFonts w:asciiTheme="minorHAnsi" w:eastAsia="Calibri" w:hAnsiTheme="minorHAnsi" w:cstheme="minorHAnsi"/>
          <w:b/>
          <w:bCs/>
          <w:iCs/>
          <w:lang w:val="en-US"/>
        </w:rPr>
        <w:lastRenderedPageBreak/>
        <w:t>***</w:t>
      </w:r>
    </w:p>
    <w:p w14:paraId="40579579" w14:textId="12C6699D" w:rsidR="005A1FA2" w:rsidRPr="00530DED" w:rsidRDefault="005A1FA2" w:rsidP="000D4ED7">
      <w:pPr>
        <w:jc w:val="both"/>
        <w:rPr>
          <w:rFonts w:asciiTheme="minorHAnsi" w:hAnsiTheme="minorHAnsi" w:cstheme="minorHAnsi"/>
          <w:b/>
          <w:sz w:val="20"/>
          <w:szCs w:val="22"/>
          <w:u w:val="single"/>
          <w:lang w:val="en-US"/>
        </w:rPr>
      </w:pPr>
    </w:p>
    <w:p w14:paraId="60CE71B7" w14:textId="22F25E02" w:rsidR="00AC5A83" w:rsidRPr="00530DED" w:rsidRDefault="00AC5A83" w:rsidP="000D4ED7">
      <w:pPr>
        <w:jc w:val="both"/>
        <w:rPr>
          <w:rFonts w:asciiTheme="minorHAnsi" w:hAnsiTheme="minorHAnsi" w:cstheme="minorHAnsi"/>
          <w:b/>
          <w:sz w:val="20"/>
          <w:szCs w:val="22"/>
          <w:u w:val="single"/>
          <w:lang w:val="en-US"/>
        </w:rPr>
      </w:pPr>
    </w:p>
    <w:p w14:paraId="470D2CDF" w14:textId="77777777" w:rsidR="00F42B19" w:rsidRPr="00530DED" w:rsidRDefault="00F42B19" w:rsidP="000D4ED7">
      <w:pPr>
        <w:jc w:val="both"/>
        <w:rPr>
          <w:rFonts w:asciiTheme="minorHAnsi" w:hAnsiTheme="minorHAnsi" w:cstheme="minorHAnsi"/>
          <w:b/>
          <w:sz w:val="20"/>
          <w:szCs w:val="22"/>
          <w:u w:val="single"/>
          <w:lang w:val="en-US"/>
        </w:rPr>
      </w:pPr>
    </w:p>
    <w:p w14:paraId="273DD5F5" w14:textId="77777777" w:rsidR="00A81849" w:rsidRPr="00530DED" w:rsidRDefault="00A81849" w:rsidP="000D4ED7">
      <w:pPr>
        <w:jc w:val="both"/>
        <w:rPr>
          <w:rFonts w:asciiTheme="minorHAnsi" w:hAnsiTheme="minorHAnsi" w:cstheme="minorHAnsi"/>
          <w:b/>
          <w:sz w:val="20"/>
          <w:szCs w:val="22"/>
          <w:u w:val="single"/>
          <w:lang w:val="en-US"/>
        </w:rPr>
      </w:pPr>
      <w:r w:rsidRPr="00530DED">
        <w:rPr>
          <w:rFonts w:asciiTheme="minorHAnsi" w:hAnsiTheme="minorHAnsi" w:cstheme="minorHAnsi"/>
          <w:b/>
          <w:sz w:val="20"/>
          <w:szCs w:val="22"/>
          <w:u w:val="single"/>
          <w:lang w:val="en-US"/>
        </w:rPr>
        <w:t>مجموعة لافاتزا</w:t>
      </w:r>
    </w:p>
    <w:p w14:paraId="1AD27B30" w14:textId="362D71EB" w:rsidR="000D4ED7" w:rsidRPr="00530DED" w:rsidRDefault="00C2669A" w:rsidP="00864E28">
      <w:pPr>
        <w:spacing w:after="283"/>
        <w:jc w:val="both"/>
        <w:rPr>
          <w:rFonts w:asciiTheme="minorHAnsi" w:hAnsiTheme="minorHAnsi" w:cstheme="minorHAnsi"/>
          <w:iCs/>
          <w:lang w:val="en-US"/>
        </w:rPr>
      </w:pPr>
      <w:r w:rsidRPr="00530DED">
        <w:rPr>
          <w:rFonts w:asciiTheme="minorHAnsi" w:hAnsiTheme="minorHAnsi" w:cstheme="minorHAnsi"/>
          <w:sz w:val="20"/>
          <w:szCs w:val="22"/>
          <w:lang w:val="en-US"/>
        </w:rPr>
        <w:t>تأسست شركة لافاتزا في تورينو عام 1895، وتملكها عائلة لافاتزا على مدار أربعة أجيال. وباعتبارها واحدة من أهم مراكز تحميص البن في العالم، تعمل المجموعة الآن في أكثر من 140 دولة من خلال شركاتها التابعة والموزعين، بحجم أعمال يصل إلى 70% في الأسواق العالمية. يعمل لدى لافاتزا أكثر من 4000 شخص وفي عام 2019 حققت مبيعات بقيمة 2,2 مليار يورو. تشمل الشركات التي تشكل جزءًا من مجموعة لافاتزا شركتي Carte Noire وESP في فرنسا (تم الاستحواذ عليهما في 2016 و2017 على التوالي)، وشركة Merrild في الدنمارك (2015)، وشركة Kicking horse للقهوة في أمريكا الشمالية (2017)، وشركة Nims في إيطاليا (2017)، وشركة Blue Pod للقهوة في أستراليا (2018). في نهاية عام 2018، بعد عملية الاستحواذ، أُسست وحدة أعمال لافاتزا الاحترافية، والتي تشمل خدمة القهوة المكتبية (OCS) وأنظمة البيع Flavia وKlix.</w:t>
      </w:r>
    </w:p>
    <w:p w14:paraId="178E2C98" w14:textId="77777777" w:rsidR="00733939" w:rsidRPr="00530DED" w:rsidRDefault="00733939" w:rsidP="00114CCC">
      <w:pPr>
        <w:widowControl/>
        <w:suppressAutoHyphens w:val="0"/>
        <w:spacing w:line="256" w:lineRule="auto"/>
        <w:rPr>
          <w:rFonts w:asciiTheme="minorHAnsi" w:hAnsiTheme="minorHAnsi" w:cstheme="minorHAnsi"/>
          <w:b/>
          <w:sz w:val="20"/>
          <w:szCs w:val="22"/>
          <w:lang w:val="en-US"/>
        </w:rPr>
      </w:pPr>
      <w:r w:rsidRPr="00530DED">
        <w:rPr>
          <w:rFonts w:asciiTheme="minorHAnsi" w:hAnsiTheme="minorHAnsi" w:cstheme="minorHAnsi"/>
          <w:b/>
          <w:sz w:val="20"/>
          <w:szCs w:val="22"/>
          <w:lang w:val="en-US"/>
        </w:rPr>
        <w:t>للمزيد من المعلومات:</w:t>
      </w:r>
    </w:p>
    <w:p w14:paraId="43EF98D3" w14:textId="4696858C" w:rsidR="00114CCC" w:rsidRPr="00530DED" w:rsidRDefault="00114CCC" w:rsidP="00114CCC">
      <w:pPr>
        <w:widowControl/>
        <w:suppressAutoHyphens w:val="0"/>
        <w:spacing w:line="256" w:lineRule="auto"/>
        <w:rPr>
          <w:rFonts w:asciiTheme="minorHAnsi" w:hAnsiTheme="minorHAnsi" w:cstheme="minorHAnsi"/>
          <w:b/>
          <w:sz w:val="20"/>
          <w:szCs w:val="22"/>
          <w:lang w:val="en-US"/>
        </w:rPr>
      </w:pPr>
      <w:r w:rsidRPr="00530DED">
        <w:rPr>
          <w:rFonts w:asciiTheme="minorHAnsi" w:hAnsiTheme="minorHAnsi" w:cstheme="minorHAnsi"/>
          <w:b/>
          <w:sz w:val="20"/>
          <w:szCs w:val="22"/>
          <w:lang w:val="en-US"/>
        </w:rPr>
        <w:t xml:space="preserve">BURSON COHN &amp; WOLFE </w:t>
      </w:r>
    </w:p>
    <w:p w14:paraId="203EBC71" w14:textId="34256892" w:rsidR="00F07EE5" w:rsidRPr="00530DED" w:rsidRDefault="007C3AD3" w:rsidP="00792078">
      <w:pPr>
        <w:widowControl/>
        <w:suppressAutoHyphens w:val="0"/>
        <w:spacing w:after="160" w:line="256" w:lineRule="auto"/>
        <w:jc w:val="both"/>
        <w:rPr>
          <w:rFonts w:asciiTheme="minorHAnsi" w:hAnsiTheme="minorHAnsi" w:cstheme="minorHAnsi"/>
          <w:sz w:val="20"/>
          <w:szCs w:val="22"/>
          <w:lang w:val="en-US"/>
        </w:rPr>
      </w:pPr>
      <w:r w:rsidRPr="00530DED">
        <w:rPr>
          <w:rFonts w:asciiTheme="minorHAnsi" w:hAnsiTheme="minorHAnsi" w:cstheme="minorHAnsi"/>
          <w:sz w:val="20"/>
          <w:szCs w:val="22"/>
          <w:lang w:val="en-US"/>
        </w:rPr>
        <w:t>مركز تنسيق لافاتزا</w:t>
      </w:r>
      <w:r w:rsidRPr="00530DED">
        <w:rPr>
          <w:rFonts w:asciiTheme="minorHAnsi" w:hAnsiTheme="minorHAnsi" w:cstheme="minorHAnsi"/>
          <w:sz w:val="20"/>
          <w:szCs w:val="22"/>
          <w:lang w:val="en-US"/>
        </w:rPr>
        <w:t xml:space="preserve"> </w:t>
      </w:r>
      <w:r w:rsidR="00114CCC" w:rsidRPr="00530DED">
        <w:rPr>
          <w:rFonts w:asciiTheme="minorHAnsi" w:hAnsiTheme="minorHAnsi" w:cstheme="minorHAnsi"/>
          <w:sz w:val="20"/>
          <w:szCs w:val="22"/>
          <w:lang w:val="en-US"/>
        </w:rPr>
        <w:t>–</w:t>
      </w:r>
      <w:r w:rsidR="005449BD" w:rsidRPr="00530DED">
        <w:rPr>
          <w:rFonts w:asciiTheme="minorHAnsi" w:hAnsiTheme="minorHAnsi" w:cstheme="minorHAnsi"/>
          <w:lang w:val="en-US"/>
        </w:rPr>
        <w:t xml:space="preserve"> </w:t>
      </w:r>
      <w:hyperlink r:id="rId10" w:history="1">
        <w:r w:rsidR="00C64D4E" w:rsidRPr="00530DED">
          <w:rPr>
            <w:rStyle w:val="Hipercze"/>
            <w:rFonts w:asciiTheme="minorHAnsi" w:hAnsiTheme="minorHAnsi" w:cstheme="minorHAnsi"/>
            <w:sz w:val="20"/>
            <w:szCs w:val="22"/>
            <w:lang w:val="en-US"/>
          </w:rPr>
          <w:t>lavazzacoordinationhub@bcw-global.com</w:t>
        </w:r>
      </w:hyperlink>
      <w:r w:rsidR="005449BD" w:rsidRPr="00530DED">
        <w:rPr>
          <w:rFonts w:asciiTheme="minorHAnsi" w:hAnsiTheme="minorHAnsi" w:cstheme="minorHAnsi"/>
          <w:sz w:val="20"/>
          <w:szCs w:val="22"/>
          <w:lang w:val="en-US"/>
        </w:rPr>
        <w:t xml:space="preserve"> </w:t>
      </w:r>
    </w:p>
    <w:p w14:paraId="2FA2BFF9" w14:textId="11AB7CAA" w:rsidR="00F42B19" w:rsidRPr="005F6695" w:rsidRDefault="00F42B19" w:rsidP="00F42B19">
      <w:pPr>
        <w:rPr>
          <w:rFonts w:ascii="Calibri" w:hAnsi="Calibri" w:cs="Calibri"/>
          <w:sz w:val="20"/>
          <w:szCs w:val="22"/>
          <w:lang w:val="en-US"/>
        </w:rPr>
      </w:pPr>
    </w:p>
    <w:sectPr w:rsidR="00F42B19" w:rsidRPr="005F6695">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E70B9" w14:textId="77777777" w:rsidR="009337BC" w:rsidRDefault="009337BC" w:rsidP="00884772">
      <w:r>
        <w:separator/>
      </w:r>
    </w:p>
  </w:endnote>
  <w:endnote w:type="continuationSeparator" w:id="0">
    <w:p w14:paraId="427AB7EF" w14:textId="77777777" w:rsidR="009337BC" w:rsidRDefault="009337BC" w:rsidP="0088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22F4B" w14:textId="77777777" w:rsidR="009337BC" w:rsidRDefault="009337BC" w:rsidP="00884772">
      <w:r>
        <w:separator/>
      </w:r>
    </w:p>
  </w:footnote>
  <w:footnote w:type="continuationSeparator" w:id="0">
    <w:p w14:paraId="2688B913" w14:textId="77777777" w:rsidR="009337BC" w:rsidRDefault="009337BC" w:rsidP="0088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F586" w14:textId="0B1CB456" w:rsidR="00286C1C" w:rsidRPr="001E54EB" w:rsidRDefault="00FE7400" w:rsidP="00286C1C">
    <w:pPr>
      <w:pStyle w:val="Nagwek"/>
      <w:jc w:val="center"/>
      <w:rPr>
        <w:sz w:val="28"/>
        <w:szCs w:val="22"/>
      </w:rPr>
    </w:pPr>
    <w:r>
      <w:rPr>
        <w:noProof/>
        <w:color w:val="FF0000"/>
        <w:sz w:val="28"/>
        <w:szCs w:val="22"/>
      </w:rPr>
      <w:drawing>
        <wp:inline distT="0" distB="0" distL="0" distR="0" wp14:anchorId="66ED2FFC" wp14:editId="13354236">
          <wp:extent cx="3329940" cy="1198447"/>
          <wp:effectExtent l="0" t="0" r="381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5355" cy="12147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CBE"/>
    <w:multiLevelType w:val="hybridMultilevel"/>
    <w:tmpl w:val="999EF00A"/>
    <w:lvl w:ilvl="0" w:tplc="AAB8010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042C8"/>
    <w:multiLevelType w:val="hybridMultilevel"/>
    <w:tmpl w:val="4492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8515F9"/>
    <w:multiLevelType w:val="hybridMultilevel"/>
    <w:tmpl w:val="43C2BD76"/>
    <w:lvl w:ilvl="0" w:tplc="E2D6B21E">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6810FF"/>
    <w:multiLevelType w:val="hybridMultilevel"/>
    <w:tmpl w:val="082258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A03FB7"/>
    <w:multiLevelType w:val="hybridMultilevel"/>
    <w:tmpl w:val="0D1C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27148"/>
    <w:multiLevelType w:val="hybridMultilevel"/>
    <w:tmpl w:val="1C52E34E"/>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B0A201F"/>
    <w:multiLevelType w:val="hybridMultilevel"/>
    <w:tmpl w:val="13C85E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213308"/>
    <w:multiLevelType w:val="hybridMultilevel"/>
    <w:tmpl w:val="F342BA3C"/>
    <w:lvl w:ilvl="0" w:tplc="362491C6">
      <w:start w:val="1"/>
      <w:numFmt w:val="bullet"/>
      <w:lvlText w:val=""/>
      <w:lvlJc w:val="left"/>
      <w:pPr>
        <w:tabs>
          <w:tab w:val="num" w:pos="720"/>
        </w:tabs>
        <w:ind w:left="720" w:hanging="360"/>
      </w:pPr>
      <w:rPr>
        <w:rFonts w:ascii="Wingdings" w:hAnsi="Wingdings" w:hint="default"/>
      </w:rPr>
    </w:lvl>
    <w:lvl w:ilvl="1" w:tplc="EE8C0ADE" w:tentative="1">
      <w:start w:val="1"/>
      <w:numFmt w:val="bullet"/>
      <w:lvlText w:val=""/>
      <w:lvlJc w:val="left"/>
      <w:pPr>
        <w:tabs>
          <w:tab w:val="num" w:pos="1440"/>
        </w:tabs>
        <w:ind w:left="1440" w:hanging="360"/>
      </w:pPr>
      <w:rPr>
        <w:rFonts w:ascii="Wingdings" w:hAnsi="Wingdings" w:hint="default"/>
      </w:rPr>
    </w:lvl>
    <w:lvl w:ilvl="2" w:tplc="242AD22E" w:tentative="1">
      <w:start w:val="1"/>
      <w:numFmt w:val="bullet"/>
      <w:lvlText w:val=""/>
      <w:lvlJc w:val="left"/>
      <w:pPr>
        <w:tabs>
          <w:tab w:val="num" w:pos="2160"/>
        </w:tabs>
        <w:ind w:left="2160" w:hanging="360"/>
      </w:pPr>
      <w:rPr>
        <w:rFonts w:ascii="Wingdings" w:hAnsi="Wingdings" w:hint="default"/>
      </w:rPr>
    </w:lvl>
    <w:lvl w:ilvl="3" w:tplc="ECFAF318" w:tentative="1">
      <w:start w:val="1"/>
      <w:numFmt w:val="bullet"/>
      <w:lvlText w:val=""/>
      <w:lvlJc w:val="left"/>
      <w:pPr>
        <w:tabs>
          <w:tab w:val="num" w:pos="2880"/>
        </w:tabs>
        <w:ind w:left="2880" w:hanging="360"/>
      </w:pPr>
      <w:rPr>
        <w:rFonts w:ascii="Wingdings" w:hAnsi="Wingdings" w:hint="default"/>
      </w:rPr>
    </w:lvl>
    <w:lvl w:ilvl="4" w:tplc="7FDA5C7A" w:tentative="1">
      <w:start w:val="1"/>
      <w:numFmt w:val="bullet"/>
      <w:lvlText w:val=""/>
      <w:lvlJc w:val="left"/>
      <w:pPr>
        <w:tabs>
          <w:tab w:val="num" w:pos="3600"/>
        </w:tabs>
        <w:ind w:left="3600" w:hanging="360"/>
      </w:pPr>
      <w:rPr>
        <w:rFonts w:ascii="Wingdings" w:hAnsi="Wingdings" w:hint="default"/>
      </w:rPr>
    </w:lvl>
    <w:lvl w:ilvl="5" w:tplc="0ABABD92" w:tentative="1">
      <w:start w:val="1"/>
      <w:numFmt w:val="bullet"/>
      <w:lvlText w:val=""/>
      <w:lvlJc w:val="left"/>
      <w:pPr>
        <w:tabs>
          <w:tab w:val="num" w:pos="4320"/>
        </w:tabs>
        <w:ind w:left="4320" w:hanging="360"/>
      </w:pPr>
      <w:rPr>
        <w:rFonts w:ascii="Wingdings" w:hAnsi="Wingdings" w:hint="default"/>
      </w:rPr>
    </w:lvl>
    <w:lvl w:ilvl="6" w:tplc="3BFEFE44" w:tentative="1">
      <w:start w:val="1"/>
      <w:numFmt w:val="bullet"/>
      <w:lvlText w:val=""/>
      <w:lvlJc w:val="left"/>
      <w:pPr>
        <w:tabs>
          <w:tab w:val="num" w:pos="5040"/>
        </w:tabs>
        <w:ind w:left="5040" w:hanging="360"/>
      </w:pPr>
      <w:rPr>
        <w:rFonts w:ascii="Wingdings" w:hAnsi="Wingdings" w:hint="default"/>
      </w:rPr>
    </w:lvl>
    <w:lvl w:ilvl="7" w:tplc="2AF41B10" w:tentative="1">
      <w:start w:val="1"/>
      <w:numFmt w:val="bullet"/>
      <w:lvlText w:val=""/>
      <w:lvlJc w:val="left"/>
      <w:pPr>
        <w:tabs>
          <w:tab w:val="num" w:pos="5760"/>
        </w:tabs>
        <w:ind w:left="5760" w:hanging="360"/>
      </w:pPr>
      <w:rPr>
        <w:rFonts w:ascii="Wingdings" w:hAnsi="Wingdings" w:hint="default"/>
      </w:rPr>
    </w:lvl>
    <w:lvl w:ilvl="8" w:tplc="78B67B4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ED"/>
    <w:rsid w:val="000048E9"/>
    <w:rsid w:val="00013739"/>
    <w:rsid w:val="000207B2"/>
    <w:rsid w:val="0002534A"/>
    <w:rsid w:val="00031FDC"/>
    <w:rsid w:val="00034130"/>
    <w:rsid w:val="00037FC5"/>
    <w:rsid w:val="00040559"/>
    <w:rsid w:val="000430C1"/>
    <w:rsid w:val="00056EC6"/>
    <w:rsid w:val="00057B9B"/>
    <w:rsid w:val="000631A9"/>
    <w:rsid w:val="00067512"/>
    <w:rsid w:val="00067730"/>
    <w:rsid w:val="0006784F"/>
    <w:rsid w:val="00081B24"/>
    <w:rsid w:val="000848A1"/>
    <w:rsid w:val="00085CFC"/>
    <w:rsid w:val="00086F47"/>
    <w:rsid w:val="00087388"/>
    <w:rsid w:val="0009302C"/>
    <w:rsid w:val="00096425"/>
    <w:rsid w:val="000A1DC2"/>
    <w:rsid w:val="000A3FF0"/>
    <w:rsid w:val="000A466C"/>
    <w:rsid w:val="000A7A01"/>
    <w:rsid w:val="000B3D5D"/>
    <w:rsid w:val="000B6C4B"/>
    <w:rsid w:val="000C3692"/>
    <w:rsid w:val="000D166F"/>
    <w:rsid w:val="000D28F5"/>
    <w:rsid w:val="000D314B"/>
    <w:rsid w:val="000D4ED7"/>
    <w:rsid w:val="000D6A70"/>
    <w:rsid w:val="000D70E7"/>
    <w:rsid w:val="000E2761"/>
    <w:rsid w:val="000F0327"/>
    <w:rsid w:val="00101FB1"/>
    <w:rsid w:val="00105032"/>
    <w:rsid w:val="00107817"/>
    <w:rsid w:val="00111C5E"/>
    <w:rsid w:val="00114CCC"/>
    <w:rsid w:val="00121400"/>
    <w:rsid w:val="00124C82"/>
    <w:rsid w:val="00131A13"/>
    <w:rsid w:val="00136CCB"/>
    <w:rsid w:val="00144195"/>
    <w:rsid w:val="00145FE6"/>
    <w:rsid w:val="001772F2"/>
    <w:rsid w:val="001844D4"/>
    <w:rsid w:val="001A3D1F"/>
    <w:rsid w:val="001A5CE7"/>
    <w:rsid w:val="001A76C7"/>
    <w:rsid w:val="001B0F21"/>
    <w:rsid w:val="001B10A5"/>
    <w:rsid w:val="001B21FE"/>
    <w:rsid w:val="001C1E42"/>
    <w:rsid w:val="001C72E0"/>
    <w:rsid w:val="001D1052"/>
    <w:rsid w:val="001D3210"/>
    <w:rsid w:val="001E11F0"/>
    <w:rsid w:val="001E309E"/>
    <w:rsid w:val="001E54EB"/>
    <w:rsid w:val="001E60ED"/>
    <w:rsid w:val="001E613D"/>
    <w:rsid w:val="001E760E"/>
    <w:rsid w:val="001F169F"/>
    <w:rsid w:val="001F5971"/>
    <w:rsid w:val="001F5FA8"/>
    <w:rsid w:val="001F7617"/>
    <w:rsid w:val="00201BAB"/>
    <w:rsid w:val="002124FD"/>
    <w:rsid w:val="002138B0"/>
    <w:rsid w:val="00213A86"/>
    <w:rsid w:val="002206A9"/>
    <w:rsid w:val="00223383"/>
    <w:rsid w:val="00224AA3"/>
    <w:rsid w:val="002274D4"/>
    <w:rsid w:val="00227ABC"/>
    <w:rsid w:val="00241A75"/>
    <w:rsid w:val="00242D00"/>
    <w:rsid w:val="002445C7"/>
    <w:rsid w:val="00244DAB"/>
    <w:rsid w:val="0024524B"/>
    <w:rsid w:val="00246B52"/>
    <w:rsid w:val="0025007E"/>
    <w:rsid w:val="00256832"/>
    <w:rsid w:val="00270711"/>
    <w:rsid w:val="002776CE"/>
    <w:rsid w:val="00280F7A"/>
    <w:rsid w:val="0028401F"/>
    <w:rsid w:val="00286C1C"/>
    <w:rsid w:val="00295F5A"/>
    <w:rsid w:val="002A7655"/>
    <w:rsid w:val="002B2FA4"/>
    <w:rsid w:val="002B6FF2"/>
    <w:rsid w:val="002C145A"/>
    <w:rsid w:val="002C1F77"/>
    <w:rsid w:val="002C474D"/>
    <w:rsid w:val="002C4D0F"/>
    <w:rsid w:val="002C5C8C"/>
    <w:rsid w:val="002D2375"/>
    <w:rsid w:val="002D4032"/>
    <w:rsid w:val="002D4A04"/>
    <w:rsid w:val="002E02E8"/>
    <w:rsid w:val="002E14A8"/>
    <w:rsid w:val="002E4E91"/>
    <w:rsid w:val="002E6E81"/>
    <w:rsid w:val="002E6F30"/>
    <w:rsid w:val="002F521A"/>
    <w:rsid w:val="00306AA6"/>
    <w:rsid w:val="0031062C"/>
    <w:rsid w:val="0031197C"/>
    <w:rsid w:val="00311F47"/>
    <w:rsid w:val="00321231"/>
    <w:rsid w:val="00331594"/>
    <w:rsid w:val="0033405A"/>
    <w:rsid w:val="0033640E"/>
    <w:rsid w:val="00340CD3"/>
    <w:rsid w:val="00347E4A"/>
    <w:rsid w:val="0036001F"/>
    <w:rsid w:val="0036098B"/>
    <w:rsid w:val="00366779"/>
    <w:rsid w:val="0037144B"/>
    <w:rsid w:val="00371730"/>
    <w:rsid w:val="00372450"/>
    <w:rsid w:val="0037464D"/>
    <w:rsid w:val="003750F1"/>
    <w:rsid w:val="0037605E"/>
    <w:rsid w:val="00380D1B"/>
    <w:rsid w:val="003B34A7"/>
    <w:rsid w:val="003B6B21"/>
    <w:rsid w:val="003C0085"/>
    <w:rsid w:val="003C4741"/>
    <w:rsid w:val="003C6CA8"/>
    <w:rsid w:val="003C7A02"/>
    <w:rsid w:val="003D0343"/>
    <w:rsid w:val="003D1285"/>
    <w:rsid w:val="003D617A"/>
    <w:rsid w:val="003D7304"/>
    <w:rsid w:val="003E58BC"/>
    <w:rsid w:val="003F40F5"/>
    <w:rsid w:val="003F5091"/>
    <w:rsid w:val="003F663F"/>
    <w:rsid w:val="00400FFE"/>
    <w:rsid w:val="00404638"/>
    <w:rsid w:val="00406240"/>
    <w:rsid w:val="0041084C"/>
    <w:rsid w:val="00412857"/>
    <w:rsid w:val="004132FA"/>
    <w:rsid w:val="0041497C"/>
    <w:rsid w:val="0042271E"/>
    <w:rsid w:val="004241C2"/>
    <w:rsid w:val="0043534B"/>
    <w:rsid w:val="00437068"/>
    <w:rsid w:val="00437099"/>
    <w:rsid w:val="004520B4"/>
    <w:rsid w:val="00456E97"/>
    <w:rsid w:val="00461984"/>
    <w:rsid w:val="00461D9E"/>
    <w:rsid w:val="004662E5"/>
    <w:rsid w:val="004663DB"/>
    <w:rsid w:val="00466CD7"/>
    <w:rsid w:val="0046760E"/>
    <w:rsid w:val="00470058"/>
    <w:rsid w:val="00474A43"/>
    <w:rsid w:val="00477022"/>
    <w:rsid w:val="00491926"/>
    <w:rsid w:val="0049469E"/>
    <w:rsid w:val="00494861"/>
    <w:rsid w:val="00495AE7"/>
    <w:rsid w:val="004B067A"/>
    <w:rsid w:val="004B3861"/>
    <w:rsid w:val="004C5BA5"/>
    <w:rsid w:val="004D0362"/>
    <w:rsid w:val="004D1815"/>
    <w:rsid w:val="004D221E"/>
    <w:rsid w:val="004D4A9C"/>
    <w:rsid w:val="004D6FD0"/>
    <w:rsid w:val="004D7A93"/>
    <w:rsid w:val="004E2CAE"/>
    <w:rsid w:val="004E6A78"/>
    <w:rsid w:val="004E79E8"/>
    <w:rsid w:val="004F72FD"/>
    <w:rsid w:val="0050106F"/>
    <w:rsid w:val="00506F18"/>
    <w:rsid w:val="00510C2F"/>
    <w:rsid w:val="00517559"/>
    <w:rsid w:val="00522391"/>
    <w:rsid w:val="00523885"/>
    <w:rsid w:val="005238AA"/>
    <w:rsid w:val="00525D09"/>
    <w:rsid w:val="00530DED"/>
    <w:rsid w:val="0053584D"/>
    <w:rsid w:val="00540AE8"/>
    <w:rsid w:val="00542207"/>
    <w:rsid w:val="005449BD"/>
    <w:rsid w:val="00547025"/>
    <w:rsid w:val="00550418"/>
    <w:rsid w:val="0055163F"/>
    <w:rsid w:val="0056228A"/>
    <w:rsid w:val="00563478"/>
    <w:rsid w:val="00565FD8"/>
    <w:rsid w:val="00571F04"/>
    <w:rsid w:val="00574872"/>
    <w:rsid w:val="00576152"/>
    <w:rsid w:val="00582102"/>
    <w:rsid w:val="00585D9C"/>
    <w:rsid w:val="00590139"/>
    <w:rsid w:val="005949BE"/>
    <w:rsid w:val="00594FC6"/>
    <w:rsid w:val="005A1FA2"/>
    <w:rsid w:val="005B6456"/>
    <w:rsid w:val="005C57C6"/>
    <w:rsid w:val="005D262E"/>
    <w:rsid w:val="005D7B2B"/>
    <w:rsid w:val="005E0656"/>
    <w:rsid w:val="005F5ACA"/>
    <w:rsid w:val="005F6695"/>
    <w:rsid w:val="005F6994"/>
    <w:rsid w:val="00600814"/>
    <w:rsid w:val="00605360"/>
    <w:rsid w:val="006223FF"/>
    <w:rsid w:val="006357FB"/>
    <w:rsid w:val="00643BE9"/>
    <w:rsid w:val="006441DE"/>
    <w:rsid w:val="00653271"/>
    <w:rsid w:val="006564FD"/>
    <w:rsid w:val="00660A11"/>
    <w:rsid w:val="00661302"/>
    <w:rsid w:val="00673A50"/>
    <w:rsid w:val="00673C10"/>
    <w:rsid w:val="00674B7B"/>
    <w:rsid w:val="00680CA4"/>
    <w:rsid w:val="00684033"/>
    <w:rsid w:val="00687C44"/>
    <w:rsid w:val="006A2D85"/>
    <w:rsid w:val="006A3144"/>
    <w:rsid w:val="006A58C6"/>
    <w:rsid w:val="006A7898"/>
    <w:rsid w:val="006B019A"/>
    <w:rsid w:val="006B0B9D"/>
    <w:rsid w:val="006B25F0"/>
    <w:rsid w:val="006B3F0F"/>
    <w:rsid w:val="006B78FC"/>
    <w:rsid w:val="006B7EBC"/>
    <w:rsid w:val="006C3AA7"/>
    <w:rsid w:val="006C6C8D"/>
    <w:rsid w:val="006D2C2C"/>
    <w:rsid w:val="006E0CFE"/>
    <w:rsid w:val="006F4145"/>
    <w:rsid w:val="00701397"/>
    <w:rsid w:val="007032D2"/>
    <w:rsid w:val="0071059A"/>
    <w:rsid w:val="0071524A"/>
    <w:rsid w:val="00727C9C"/>
    <w:rsid w:val="0073234B"/>
    <w:rsid w:val="00733939"/>
    <w:rsid w:val="00733D83"/>
    <w:rsid w:val="0073534B"/>
    <w:rsid w:val="00736830"/>
    <w:rsid w:val="007515FC"/>
    <w:rsid w:val="0076657A"/>
    <w:rsid w:val="00772360"/>
    <w:rsid w:val="00775882"/>
    <w:rsid w:val="007772AF"/>
    <w:rsid w:val="007817FC"/>
    <w:rsid w:val="00781EB5"/>
    <w:rsid w:val="00784A0C"/>
    <w:rsid w:val="00791E69"/>
    <w:rsid w:val="00792078"/>
    <w:rsid w:val="00794E8C"/>
    <w:rsid w:val="00795747"/>
    <w:rsid w:val="007A03F0"/>
    <w:rsid w:val="007A49EB"/>
    <w:rsid w:val="007A4BBF"/>
    <w:rsid w:val="007A5401"/>
    <w:rsid w:val="007A5C41"/>
    <w:rsid w:val="007C3AD3"/>
    <w:rsid w:val="007E374F"/>
    <w:rsid w:val="007F0A4D"/>
    <w:rsid w:val="007F11AE"/>
    <w:rsid w:val="007F2C66"/>
    <w:rsid w:val="007F4406"/>
    <w:rsid w:val="007F7762"/>
    <w:rsid w:val="008036A7"/>
    <w:rsid w:val="00805D0D"/>
    <w:rsid w:val="0081254D"/>
    <w:rsid w:val="008149FC"/>
    <w:rsid w:val="00814A14"/>
    <w:rsid w:val="00815FAD"/>
    <w:rsid w:val="00821FB1"/>
    <w:rsid w:val="0083134A"/>
    <w:rsid w:val="008367EF"/>
    <w:rsid w:val="008444FB"/>
    <w:rsid w:val="0085151F"/>
    <w:rsid w:val="00863A5E"/>
    <w:rsid w:val="00864E28"/>
    <w:rsid w:val="008731FE"/>
    <w:rsid w:val="00876E60"/>
    <w:rsid w:val="00884772"/>
    <w:rsid w:val="00885D99"/>
    <w:rsid w:val="0089053F"/>
    <w:rsid w:val="008A51D9"/>
    <w:rsid w:val="008B1538"/>
    <w:rsid w:val="008B270D"/>
    <w:rsid w:val="008B2DEB"/>
    <w:rsid w:val="008B6B7C"/>
    <w:rsid w:val="008B7046"/>
    <w:rsid w:val="008B73F6"/>
    <w:rsid w:val="008C54A7"/>
    <w:rsid w:val="008C61FD"/>
    <w:rsid w:val="008C7259"/>
    <w:rsid w:val="008D07F7"/>
    <w:rsid w:val="008D1BFA"/>
    <w:rsid w:val="008D6D58"/>
    <w:rsid w:val="009001AE"/>
    <w:rsid w:val="009022F1"/>
    <w:rsid w:val="00902A92"/>
    <w:rsid w:val="00905F25"/>
    <w:rsid w:val="00907B09"/>
    <w:rsid w:val="009119F7"/>
    <w:rsid w:val="00914E51"/>
    <w:rsid w:val="00927517"/>
    <w:rsid w:val="009310BC"/>
    <w:rsid w:val="009337BC"/>
    <w:rsid w:val="00933CE9"/>
    <w:rsid w:val="00944275"/>
    <w:rsid w:val="009451A3"/>
    <w:rsid w:val="00947661"/>
    <w:rsid w:val="00951D4B"/>
    <w:rsid w:val="00976CC5"/>
    <w:rsid w:val="00977742"/>
    <w:rsid w:val="00981B72"/>
    <w:rsid w:val="00983B4B"/>
    <w:rsid w:val="00985329"/>
    <w:rsid w:val="0099363B"/>
    <w:rsid w:val="0099579E"/>
    <w:rsid w:val="009A0267"/>
    <w:rsid w:val="009A0C1C"/>
    <w:rsid w:val="009B19B2"/>
    <w:rsid w:val="009C3B2E"/>
    <w:rsid w:val="009C47A0"/>
    <w:rsid w:val="009C4E9D"/>
    <w:rsid w:val="009D077F"/>
    <w:rsid w:val="009D33EB"/>
    <w:rsid w:val="009E1406"/>
    <w:rsid w:val="009F0052"/>
    <w:rsid w:val="009F0F85"/>
    <w:rsid w:val="009F1A90"/>
    <w:rsid w:val="009F2020"/>
    <w:rsid w:val="009F524A"/>
    <w:rsid w:val="009F5960"/>
    <w:rsid w:val="009F6407"/>
    <w:rsid w:val="009F6DFB"/>
    <w:rsid w:val="009F7FBE"/>
    <w:rsid w:val="00A075BF"/>
    <w:rsid w:val="00A1301C"/>
    <w:rsid w:val="00A141C3"/>
    <w:rsid w:val="00A15AD6"/>
    <w:rsid w:val="00A178C3"/>
    <w:rsid w:val="00A23988"/>
    <w:rsid w:val="00A26A97"/>
    <w:rsid w:val="00A363D0"/>
    <w:rsid w:val="00A533F9"/>
    <w:rsid w:val="00A61770"/>
    <w:rsid w:val="00A672CE"/>
    <w:rsid w:val="00A736FF"/>
    <w:rsid w:val="00A74057"/>
    <w:rsid w:val="00A7516E"/>
    <w:rsid w:val="00A77C42"/>
    <w:rsid w:val="00A81849"/>
    <w:rsid w:val="00A82763"/>
    <w:rsid w:val="00A848DF"/>
    <w:rsid w:val="00A84D20"/>
    <w:rsid w:val="00A937FA"/>
    <w:rsid w:val="00A94607"/>
    <w:rsid w:val="00AA61A7"/>
    <w:rsid w:val="00AB2E72"/>
    <w:rsid w:val="00AB4580"/>
    <w:rsid w:val="00AC5388"/>
    <w:rsid w:val="00AC5A83"/>
    <w:rsid w:val="00AC7CFF"/>
    <w:rsid w:val="00AD25F9"/>
    <w:rsid w:val="00AD383A"/>
    <w:rsid w:val="00AD3CB9"/>
    <w:rsid w:val="00AD5290"/>
    <w:rsid w:val="00AD58DC"/>
    <w:rsid w:val="00AE16F5"/>
    <w:rsid w:val="00AE25FD"/>
    <w:rsid w:val="00AF39B8"/>
    <w:rsid w:val="00AF72CC"/>
    <w:rsid w:val="00B000E9"/>
    <w:rsid w:val="00B052AE"/>
    <w:rsid w:val="00B070FB"/>
    <w:rsid w:val="00B1194B"/>
    <w:rsid w:val="00B14CC0"/>
    <w:rsid w:val="00B14DD2"/>
    <w:rsid w:val="00B16417"/>
    <w:rsid w:val="00B1783A"/>
    <w:rsid w:val="00B34807"/>
    <w:rsid w:val="00B362EB"/>
    <w:rsid w:val="00B4101B"/>
    <w:rsid w:val="00B5680F"/>
    <w:rsid w:val="00B6218D"/>
    <w:rsid w:val="00B80179"/>
    <w:rsid w:val="00B855E1"/>
    <w:rsid w:val="00B92908"/>
    <w:rsid w:val="00B96530"/>
    <w:rsid w:val="00BA6759"/>
    <w:rsid w:val="00BB1463"/>
    <w:rsid w:val="00BB3391"/>
    <w:rsid w:val="00BB478B"/>
    <w:rsid w:val="00BB5450"/>
    <w:rsid w:val="00BB6A25"/>
    <w:rsid w:val="00BB7359"/>
    <w:rsid w:val="00BC1238"/>
    <w:rsid w:val="00BE2362"/>
    <w:rsid w:val="00BE309D"/>
    <w:rsid w:val="00BF38A7"/>
    <w:rsid w:val="00BF5D13"/>
    <w:rsid w:val="00C04400"/>
    <w:rsid w:val="00C11032"/>
    <w:rsid w:val="00C12B72"/>
    <w:rsid w:val="00C178CF"/>
    <w:rsid w:val="00C209AE"/>
    <w:rsid w:val="00C20A71"/>
    <w:rsid w:val="00C2669A"/>
    <w:rsid w:val="00C27FB1"/>
    <w:rsid w:val="00C3633F"/>
    <w:rsid w:val="00C422D4"/>
    <w:rsid w:val="00C42AA5"/>
    <w:rsid w:val="00C46FF9"/>
    <w:rsid w:val="00C6000C"/>
    <w:rsid w:val="00C64D4E"/>
    <w:rsid w:val="00C65990"/>
    <w:rsid w:val="00C703A2"/>
    <w:rsid w:val="00C77D32"/>
    <w:rsid w:val="00C8155F"/>
    <w:rsid w:val="00C872BB"/>
    <w:rsid w:val="00C877F4"/>
    <w:rsid w:val="00C9126A"/>
    <w:rsid w:val="00C93A97"/>
    <w:rsid w:val="00C93F32"/>
    <w:rsid w:val="00C9484F"/>
    <w:rsid w:val="00CA2992"/>
    <w:rsid w:val="00CA4142"/>
    <w:rsid w:val="00CC2040"/>
    <w:rsid w:val="00CC343E"/>
    <w:rsid w:val="00CD0E68"/>
    <w:rsid w:val="00CD3C19"/>
    <w:rsid w:val="00CD55DB"/>
    <w:rsid w:val="00CD702B"/>
    <w:rsid w:val="00CD7B5B"/>
    <w:rsid w:val="00CE2452"/>
    <w:rsid w:val="00CE742D"/>
    <w:rsid w:val="00CF0E7B"/>
    <w:rsid w:val="00CF2562"/>
    <w:rsid w:val="00CF2DC9"/>
    <w:rsid w:val="00D018B6"/>
    <w:rsid w:val="00D067B3"/>
    <w:rsid w:val="00D10815"/>
    <w:rsid w:val="00D11AA0"/>
    <w:rsid w:val="00D15BD3"/>
    <w:rsid w:val="00D1690C"/>
    <w:rsid w:val="00D16C39"/>
    <w:rsid w:val="00D20956"/>
    <w:rsid w:val="00D21751"/>
    <w:rsid w:val="00D221CE"/>
    <w:rsid w:val="00D245C9"/>
    <w:rsid w:val="00D25959"/>
    <w:rsid w:val="00D25D5E"/>
    <w:rsid w:val="00D26A02"/>
    <w:rsid w:val="00D34C31"/>
    <w:rsid w:val="00D34DA3"/>
    <w:rsid w:val="00D34EBA"/>
    <w:rsid w:val="00D3518C"/>
    <w:rsid w:val="00D37620"/>
    <w:rsid w:val="00D50493"/>
    <w:rsid w:val="00D55FA7"/>
    <w:rsid w:val="00D569F6"/>
    <w:rsid w:val="00D64E7B"/>
    <w:rsid w:val="00D6656D"/>
    <w:rsid w:val="00D67F71"/>
    <w:rsid w:val="00D70DDF"/>
    <w:rsid w:val="00D73E6F"/>
    <w:rsid w:val="00D82E00"/>
    <w:rsid w:val="00D84B24"/>
    <w:rsid w:val="00D856E1"/>
    <w:rsid w:val="00D85D2D"/>
    <w:rsid w:val="00D86984"/>
    <w:rsid w:val="00D87DC5"/>
    <w:rsid w:val="00DA1B5D"/>
    <w:rsid w:val="00DA45ED"/>
    <w:rsid w:val="00DB20B0"/>
    <w:rsid w:val="00DC3A84"/>
    <w:rsid w:val="00DC4F0C"/>
    <w:rsid w:val="00DD36FA"/>
    <w:rsid w:val="00DE5278"/>
    <w:rsid w:val="00DF38CC"/>
    <w:rsid w:val="00E1504D"/>
    <w:rsid w:val="00E20B98"/>
    <w:rsid w:val="00E20F57"/>
    <w:rsid w:val="00E23B3A"/>
    <w:rsid w:val="00E4117F"/>
    <w:rsid w:val="00E414CD"/>
    <w:rsid w:val="00E44257"/>
    <w:rsid w:val="00E4789E"/>
    <w:rsid w:val="00E5044D"/>
    <w:rsid w:val="00E56151"/>
    <w:rsid w:val="00E57DAD"/>
    <w:rsid w:val="00E60AAC"/>
    <w:rsid w:val="00E61E43"/>
    <w:rsid w:val="00E65EFA"/>
    <w:rsid w:val="00E721EE"/>
    <w:rsid w:val="00E805B0"/>
    <w:rsid w:val="00E86BB6"/>
    <w:rsid w:val="00EA2274"/>
    <w:rsid w:val="00EA2F9D"/>
    <w:rsid w:val="00EA3D67"/>
    <w:rsid w:val="00EA4F20"/>
    <w:rsid w:val="00EB4B7F"/>
    <w:rsid w:val="00EB71B6"/>
    <w:rsid w:val="00EC63D6"/>
    <w:rsid w:val="00EC743D"/>
    <w:rsid w:val="00EE006E"/>
    <w:rsid w:val="00EE0149"/>
    <w:rsid w:val="00EE27E6"/>
    <w:rsid w:val="00EE6EC0"/>
    <w:rsid w:val="00EE7395"/>
    <w:rsid w:val="00EE7EA2"/>
    <w:rsid w:val="00EF3A82"/>
    <w:rsid w:val="00EF56B1"/>
    <w:rsid w:val="00F022A8"/>
    <w:rsid w:val="00F07EE5"/>
    <w:rsid w:val="00F106AD"/>
    <w:rsid w:val="00F137B7"/>
    <w:rsid w:val="00F14820"/>
    <w:rsid w:val="00F22E96"/>
    <w:rsid w:val="00F2450D"/>
    <w:rsid w:val="00F2597F"/>
    <w:rsid w:val="00F264E7"/>
    <w:rsid w:val="00F2798D"/>
    <w:rsid w:val="00F328E0"/>
    <w:rsid w:val="00F35570"/>
    <w:rsid w:val="00F37974"/>
    <w:rsid w:val="00F41959"/>
    <w:rsid w:val="00F42B19"/>
    <w:rsid w:val="00F42D7D"/>
    <w:rsid w:val="00F478CE"/>
    <w:rsid w:val="00F50425"/>
    <w:rsid w:val="00F51FFE"/>
    <w:rsid w:val="00F534F5"/>
    <w:rsid w:val="00F53835"/>
    <w:rsid w:val="00F565D0"/>
    <w:rsid w:val="00F63FCD"/>
    <w:rsid w:val="00F762D9"/>
    <w:rsid w:val="00F81825"/>
    <w:rsid w:val="00FA1A79"/>
    <w:rsid w:val="00FA30F2"/>
    <w:rsid w:val="00FA7022"/>
    <w:rsid w:val="00FA757C"/>
    <w:rsid w:val="00FB2DC3"/>
    <w:rsid w:val="00FB3BC5"/>
    <w:rsid w:val="00FC5AAA"/>
    <w:rsid w:val="00FC7600"/>
    <w:rsid w:val="00FD5B1D"/>
    <w:rsid w:val="00FE3808"/>
    <w:rsid w:val="00FE7400"/>
    <w:rsid w:val="00FF66F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C52F0"/>
  <w15:chartTrackingRefBased/>
  <w15:docId w15:val="{41C2FCF4-C32D-4C42-B10C-5EAA5F6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4257"/>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uiPriority w:val="21"/>
    <w:qFormat/>
    <w:rsid w:val="00E44257"/>
    <w:rPr>
      <w:i/>
      <w:iCs/>
      <w:color w:val="5B9BD5"/>
    </w:rPr>
  </w:style>
  <w:style w:type="paragraph" w:styleId="Tekstdymka">
    <w:name w:val="Balloon Text"/>
    <w:basedOn w:val="Normalny"/>
    <w:link w:val="TekstdymkaZnak"/>
    <w:uiPriority w:val="99"/>
    <w:semiHidden/>
    <w:unhideWhenUsed/>
    <w:rsid w:val="00E44257"/>
    <w:rPr>
      <w:rFonts w:ascii="Segoe UI" w:hAnsi="Segoe UI" w:cs="Mangal"/>
      <w:sz w:val="18"/>
      <w:szCs w:val="16"/>
    </w:rPr>
  </w:style>
  <w:style w:type="character" w:customStyle="1" w:styleId="TekstdymkaZnak">
    <w:name w:val="Tekst dymka Znak"/>
    <w:basedOn w:val="Domylnaczcionkaakapitu"/>
    <w:link w:val="Tekstdymka"/>
    <w:uiPriority w:val="99"/>
    <w:semiHidden/>
    <w:rsid w:val="00E44257"/>
    <w:rPr>
      <w:rFonts w:ascii="Segoe UI" w:eastAsia="Arial Unicode MS" w:hAnsi="Segoe UI" w:cs="Mangal"/>
      <w:kern w:val="1"/>
      <w:sz w:val="18"/>
      <w:szCs w:val="16"/>
      <w:lang w:eastAsia="hi-IN" w:bidi="hi-IN"/>
    </w:rPr>
  </w:style>
  <w:style w:type="paragraph" w:styleId="Akapitzlist">
    <w:name w:val="List Paragraph"/>
    <w:aliases w:val="text bullet,Párrafo de lista"/>
    <w:basedOn w:val="Normalny"/>
    <w:uiPriority w:val="34"/>
    <w:qFormat/>
    <w:rsid w:val="00884772"/>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ipercze">
    <w:name w:val="Hyperlink"/>
    <w:basedOn w:val="Domylnaczcionkaakapitu"/>
    <w:uiPriority w:val="99"/>
    <w:unhideWhenUsed/>
    <w:rsid w:val="00884772"/>
    <w:rPr>
      <w:color w:val="0563C1" w:themeColor="hyperlink"/>
      <w:u w:val="single"/>
    </w:rPr>
  </w:style>
  <w:style w:type="paragraph" w:styleId="Tekstprzypisudolnego">
    <w:name w:val="footnote text"/>
    <w:basedOn w:val="Normalny"/>
    <w:link w:val="TekstprzypisudolnegoZnak"/>
    <w:uiPriority w:val="99"/>
    <w:unhideWhenUsed/>
    <w:rsid w:val="00884772"/>
    <w:pPr>
      <w:widowControl/>
      <w:suppressAutoHyphens w:val="0"/>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rsid w:val="00884772"/>
    <w:rPr>
      <w:sz w:val="20"/>
      <w:szCs w:val="20"/>
    </w:rPr>
  </w:style>
  <w:style w:type="character" w:styleId="Odwoanieprzypisudolnego">
    <w:name w:val="footnote reference"/>
    <w:basedOn w:val="Domylnaczcionkaakapitu"/>
    <w:uiPriority w:val="99"/>
    <w:semiHidden/>
    <w:unhideWhenUsed/>
    <w:rsid w:val="00884772"/>
    <w:rPr>
      <w:vertAlign w:val="superscript"/>
    </w:rPr>
  </w:style>
  <w:style w:type="character" w:customStyle="1" w:styleId="Menzionenonrisolta1">
    <w:name w:val="Menzione non risolta1"/>
    <w:basedOn w:val="Domylnaczcionkaakapitu"/>
    <w:uiPriority w:val="99"/>
    <w:semiHidden/>
    <w:unhideWhenUsed/>
    <w:rsid w:val="00884772"/>
    <w:rPr>
      <w:color w:val="605E5C"/>
      <w:shd w:val="clear" w:color="auto" w:fill="E1DFDD"/>
    </w:rPr>
  </w:style>
  <w:style w:type="character" w:styleId="Uwydatnienie">
    <w:name w:val="Emphasis"/>
    <w:basedOn w:val="Domylnaczcionkaakapitu"/>
    <w:uiPriority w:val="20"/>
    <w:qFormat/>
    <w:rsid w:val="00E20B98"/>
    <w:rPr>
      <w:i/>
      <w:iCs/>
    </w:rPr>
  </w:style>
  <w:style w:type="paragraph" w:styleId="Nagwek">
    <w:name w:val="header"/>
    <w:basedOn w:val="Normalny"/>
    <w:link w:val="NagwekZnak"/>
    <w:uiPriority w:val="99"/>
    <w:unhideWhenUsed/>
    <w:rsid w:val="00286C1C"/>
    <w:pPr>
      <w:tabs>
        <w:tab w:val="center" w:pos="4819"/>
        <w:tab w:val="right" w:pos="9638"/>
      </w:tabs>
    </w:pPr>
    <w:rPr>
      <w:rFonts w:cs="Mangal"/>
      <w:szCs w:val="21"/>
    </w:rPr>
  </w:style>
  <w:style w:type="character" w:customStyle="1" w:styleId="NagwekZnak">
    <w:name w:val="Nagłówek Znak"/>
    <w:basedOn w:val="Domylnaczcionkaakapitu"/>
    <w:link w:val="Nagwek"/>
    <w:uiPriority w:val="99"/>
    <w:rsid w:val="00286C1C"/>
    <w:rPr>
      <w:rFonts w:ascii="Times New Roman" w:eastAsia="Arial Unicode MS" w:hAnsi="Times New Roman" w:cs="Mangal"/>
      <w:kern w:val="1"/>
      <w:sz w:val="24"/>
      <w:szCs w:val="21"/>
      <w:lang w:eastAsia="hi-IN" w:bidi="hi-IN"/>
    </w:rPr>
  </w:style>
  <w:style w:type="paragraph" w:styleId="Stopka">
    <w:name w:val="footer"/>
    <w:basedOn w:val="Normalny"/>
    <w:link w:val="StopkaZnak"/>
    <w:uiPriority w:val="99"/>
    <w:unhideWhenUsed/>
    <w:rsid w:val="00286C1C"/>
    <w:pPr>
      <w:tabs>
        <w:tab w:val="center" w:pos="4819"/>
        <w:tab w:val="right" w:pos="9638"/>
      </w:tabs>
    </w:pPr>
    <w:rPr>
      <w:rFonts w:cs="Mangal"/>
      <w:szCs w:val="21"/>
    </w:rPr>
  </w:style>
  <w:style w:type="character" w:customStyle="1" w:styleId="StopkaZnak">
    <w:name w:val="Stopka Znak"/>
    <w:basedOn w:val="Domylnaczcionkaakapitu"/>
    <w:link w:val="Stopka"/>
    <w:uiPriority w:val="99"/>
    <w:rsid w:val="00286C1C"/>
    <w:rPr>
      <w:rFonts w:ascii="Times New Roman" w:eastAsia="Arial Unicode MS" w:hAnsi="Times New Roman" w:cs="Mangal"/>
      <w:kern w:val="1"/>
      <w:sz w:val="24"/>
      <w:szCs w:val="21"/>
      <w:lang w:eastAsia="hi-IN" w:bidi="hi-IN"/>
    </w:rPr>
  </w:style>
  <w:style w:type="paragraph" w:styleId="NormalnyWeb">
    <w:name w:val="Normal (Web)"/>
    <w:basedOn w:val="Normalny"/>
    <w:uiPriority w:val="99"/>
    <w:semiHidden/>
    <w:unhideWhenUsed/>
    <w:rsid w:val="00821FB1"/>
    <w:pPr>
      <w:widowControl/>
      <w:suppressAutoHyphens w:val="0"/>
      <w:spacing w:before="100" w:beforeAutospacing="1" w:after="100" w:afterAutospacing="1"/>
    </w:pPr>
    <w:rPr>
      <w:rFonts w:eastAsia="Times New Roman" w:cs="Times New Roman"/>
      <w:kern w:val="0"/>
      <w:lang w:eastAsia="it-IT" w:bidi="ar-SA"/>
    </w:rPr>
  </w:style>
  <w:style w:type="character" w:styleId="Nierozpoznanawzmianka">
    <w:name w:val="Unresolved Mention"/>
    <w:basedOn w:val="Domylnaczcionkaakapitu"/>
    <w:uiPriority w:val="99"/>
    <w:semiHidden/>
    <w:unhideWhenUsed/>
    <w:rsid w:val="00977742"/>
    <w:rPr>
      <w:color w:val="605E5C"/>
      <w:shd w:val="clear" w:color="auto" w:fill="E1DFDD"/>
    </w:rPr>
  </w:style>
  <w:style w:type="character" w:styleId="Odwoaniedokomentarza">
    <w:name w:val="annotation reference"/>
    <w:basedOn w:val="Domylnaczcionkaakapitu"/>
    <w:uiPriority w:val="99"/>
    <w:semiHidden/>
    <w:unhideWhenUsed/>
    <w:rsid w:val="00380D1B"/>
    <w:rPr>
      <w:sz w:val="16"/>
      <w:szCs w:val="16"/>
    </w:rPr>
  </w:style>
  <w:style w:type="paragraph" w:styleId="Tekstkomentarza">
    <w:name w:val="annotation text"/>
    <w:basedOn w:val="Normalny"/>
    <w:link w:val="TekstkomentarzaZnak"/>
    <w:uiPriority w:val="99"/>
    <w:semiHidden/>
    <w:unhideWhenUsed/>
    <w:rsid w:val="00380D1B"/>
    <w:rPr>
      <w:rFonts w:cs="Mangal"/>
      <w:sz w:val="20"/>
      <w:szCs w:val="18"/>
    </w:rPr>
  </w:style>
  <w:style w:type="character" w:customStyle="1" w:styleId="TekstkomentarzaZnak">
    <w:name w:val="Tekst komentarza Znak"/>
    <w:basedOn w:val="Domylnaczcionkaakapitu"/>
    <w:link w:val="Tekstkomentarza"/>
    <w:uiPriority w:val="99"/>
    <w:semiHidden/>
    <w:rsid w:val="00380D1B"/>
    <w:rPr>
      <w:rFonts w:ascii="Times New Roman" w:eastAsia="Arial Unicode MS"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380D1B"/>
    <w:rPr>
      <w:b/>
      <w:bCs/>
    </w:rPr>
  </w:style>
  <w:style w:type="character" w:customStyle="1" w:styleId="TematkomentarzaZnak">
    <w:name w:val="Temat komentarza Znak"/>
    <w:basedOn w:val="TekstkomentarzaZnak"/>
    <w:link w:val="Tematkomentarza"/>
    <w:uiPriority w:val="99"/>
    <w:semiHidden/>
    <w:rsid w:val="00380D1B"/>
    <w:rPr>
      <w:rFonts w:ascii="Times New Roman" w:eastAsia="Arial Unicode MS"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7482">
      <w:bodyDiv w:val="1"/>
      <w:marLeft w:val="0"/>
      <w:marRight w:val="0"/>
      <w:marTop w:val="0"/>
      <w:marBottom w:val="0"/>
      <w:divBdr>
        <w:top w:val="none" w:sz="0" w:space="0" w:color="auto"/>
        <w:left w:val="none" w:sz="0" w:space="0" w:color="auto"/>
        <w:bottom w:val="none" w:sz="0" w:space="0" w:color="auto"/>
        <w:right w:val="none" w:sz="0" w:space="0" w:color="auto"/>
      </w:divBdr>
    </w:div>
    <w:div w:id="305745044">
      <w:bodyDiv w:val="1"/>
      <w:marLeft w:val="0"/>
      <w:marRight w:val="0"/>
      <w:marTop w:val="0"/>
      <w:marBottom w:val="0"/>
      <w:divBdr>
        <w:top w:val="none" w:sz="0" w:space="0" w:color="auto"/>
        <w:left w:val="none" w:sz="0" w:space="0" w:color="auto"/>
        <w:bottom w:val="none" w:sz="0" w:space="0" w:color="auto"/>
        <w:right w:val="none" w:sz="0" w:space="0" w:color="auto"/>
      </w:divBdr>
    </w:div>
    <w:div w:id="771978320">
      <w:bodyDiv w:val="1"/>
      <w:marLeft w:val="0"/>
      <w:marRight w:val="0"/>
      <w:marTop w:val="0"/>
      <w:marBottom w:val="0"/>
      <w:divBdr>
        <w:top w:val="none" w:sz="0" w:space="0" w:color="auto"/>
        <w:left w:val="none" w:sz="0" w:space="0" w:color="auto"/>
        <w:bottom w:val="none" w:sz="0" w:space="0" w:color="auto"/>
        <w:right w:val="none" w:sz="0" w:space="0" w:color="auto"/>
      </w:divBdr>
      <w:divsChild>
        <w:div w:id="1638533562">
          <w:marLeft w:val="360"/>
          <w:marRight w:val="0"/>
          <w:marTop w:val="0"/>
          <w:marBottom w:val="240"/>
          <w:divBdr>
            <w:top w:val="none" w:sz="0" w:space="0" w:color="auto"/>
            <w:left w:val="none" w:sz="0" w:space="0" w:color="auto"/>
            <w:bottom w:val="none" w:sz="0" w:space="0" w:color="auto"/>
            <w:right w:val="none" w:sz="0" w:space="0" w:color="auto"/>
          </w:divBdr>
        </w:div>
        <w:div w:id="819032513">
          <w:marLeft w:val="360"/>
          <w:marRight w:val="0"/>
          <w:marTop w:val="0"/>
          <w:marBottom w:val="240"/>
          <w:divBdr>
            <w:top w:val="none" w:sz="0" w:space="0" w:color="auto"/>
            <w:left w:val="none" w:sz="0" w:space="0" w:color="auto"/>
            <w:bottom w:val="none" w:sz="0" w:space="0" w:color="auto"/>
            <w:right w:val="none" w:sz="0" w:space="0" w:color="auto"/>
          </w:divBdr>
        </w:div>
      </w:divsChild>
    </w:div>
    <w:div w:id="1248535673">
      <w:bodyDiv w:val="1"/>
      <w:marLeft w:val="0"/>
      <w:marRight w:val="0"/>
      <w:marTop w:val="0"/>
      <w:marBottom w:val="0"/>
      <w:divBdr>
        <w:top w:val="none" w:sz="0" w:space="0" w:color="auto"/>
        <w:left w:val="none" w:sz="0" w:space="0" w:color="auto"/>
        <w:bottom w:val="none" w:sz="0" w:space="0" w:color="auto"/>
        <w:right w:val="none" w:sz="0" w:space="0" w:color="auto"/>
      </w:divBdr>
      <w:divsChild>
        <w:div w:id="1763068781">
          <w:marLeft w:val="360"/>
          <w:marRight w:val="0"/>
          <w:marTop w:val="0"/>
          <w:marBottom w:val="240"/>
          <w:divBdr>
            <w:top w:val="none" w:sz="0" w:space="0" w:color="auto"/>
            <w:left w:val="none" w:sz="0" w:space="0" w:color="auto"/>
            <w:bottom w:val="none" w:sz="0" w:space="0" w:color="auto"/>
            <w:right w:val="none" w:sz="0" w:space="0" w:color="auto"/>
          </w:divBdr>
        </w:div>
        <w:div w:id="1688483696">
          <w:marLeft w:val="360"/>
          <w:marRight w:val="0"/>
          <w:marTop w:val="0"/>
          <w:marBottom w:val="240"/>
          <w:divBdr>
            <w:top w:val="none" w:sz="0" w:space="0" w:color="auto"/>
            <w:left w:val="none" w:sz="0" w:space="0" w:color="auto"/>
            <w:bottom w:val="none" w:sz="0" w:space="0" w:color="auto"/>
            <w:right w:val="none" w:sz="0" w:space="0" w:color="auto"/>
          </w:divBdr>
        </w:div>
      </w:divsChild>
    </w:div>
    <w:div w:id="1701397199">
      <w:bodyDiv w:val="1"/>
      <w:marLeft w:val="0"/>
      <w:marRight w:val="0"/>
      <w:marTop w:val="0"/>
      <w:marBottom w:val="0"/>
      <w:divBdr>
        <w:top w:val="none" w:sz="0" w:space="0" w:color="auto"/>
        <w:left w:val="none" w:sz="0" w:space="0" w:color="auto"/>
        <w:bottom w:val="none" w:sz="0" w:space="0" w:color="auto"/>
        <w:right w:val="none" w:sz="0" w:space="0" w:color="auto"/>
      </w:divBdr>
    </w:div>
    <w:div w:id="20440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vazzacoordinationhub@bcw-globa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535D78A394F4499B631292BC543F0" ma:contentTypeVersion="13" ma:contentTypeDescription="Create a new document." ma:contentTypeScope="" ma:versionID="a5690cf4c26fc078fc58592003eb843a">
  <xsd:schema xmlns:xsd="http://www.w3.org/2001/XMLSchema" xmlns:xs="http://www.w3.org/2001/XMLSchema" xmlns:p="http://schemas.microsoft.com/office/2006/metadata/properties" xmlns:ns3="60094ac4-4348-4a72-a137-07314297fa99" xmlns:ns4="a0c7b530-1017-4ee2-b035-004bfe52fc10" targetNamespace="http://schemas.microsoft.com/office/2006/metadata/properties" ma:root="true" ma:fieldsID="5a5f63ee8e3becdf14d1467125734d90" ns3:_="" ns4:_="">
    <xsd:import namespace="60094ac4-4348-4a72-a137-07314297fa99"/>
    <xsd:import namespace="a0c7b530-1017-4ee2-b035-004bfe52fc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94ac4-4348-4a72-a137-07314297f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7b530-1017-4ee2-b035-004bfe52fc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146D8-D277-4040-8485-2819C0E73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94ac4-4348-4a72-a137-07314297fa99"/>
    <ds:schemaRef ds:uri="a0c7b530-1017-4ee2-b035-004bfe52f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8C4F-1FD9-4643-A2E7-2FB435A98A0C}">
  <ds:schemaRefs>
    <ds:schemaRef ds:uri="http://schemas.microsoft.com/sharepoint/v3/contenttype/forms"/>
  </ds:schemaRefs>
</ds:datastoreItem>
</file>

<file path=customXml/itemProps3.xml><?xml version="1.0" encoding="utf-8"?>
<ds:datastoreItem xmlns:ds="http://schemas.openxmlformats.org/officeDocument/2006/customXml" ds:itemID="{C00C6C98-E271-4482-9689-DEF72946FC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581</Words>
  <Characters>3486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Poggio</dc:creator>
  <cp:keywords/>
  <dc:description/>
  <cp:lastModifiedBy>Bigaj, Karolina</cp:lastModifiedBy>
  <cp:revision>30</cp:revision>
  <dcterms:created xsi:type="dcterms:W3CDTF">2020-09-07T14:46:00Z</dcterms:created>
  <dcterms:modified xsi:type="dcterms:W3CDTF">2020-10-27T10:06:00Z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0x010100337535D78A394F4499B631292BC543F0</vt:lpwstr>
  </property>
</Properties>
</file>